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2E92" w14:textId="77777777" w:rsidR="0069682A" w:rsidRPr="003F6A3F" w:rsidRDefault="0069682A" w:rsidP="0069682A">
      <w:pPr>
        <w:pStyle w:val="BodyText"/>
        <w:spacing w:after="0"/>
        <w:rPr>
          <w:rFonts w:ascii="Lato" w:hAnsi="Lato" w:cs="Tahoma"/>
          <w:b/>
          <w:bCs/>
          <w:sz w:val="26"/>
          <w:szCs w:val="26"/>
          <w:u w:val="single"/>
        </w:rPr>
      </w:pPr>
      <w:r w:rsidRPr="003F6A3F">
        <w:rPr>
          <w:rFonts w:ascii="Lato" w:hAnsi="Lato" w:cs="Tahoma"/>
          <w:b/>
          <w:bCs/>
          <w:sz w:val="26"/>
          <w:szCs w:val="26"/>
          <w:u w:val="single"/>
        </w:rPr>
        <w:t>Data Sheet</w:t>
      </w:r>
    </w:p>
    <w:p w14:paraId="4F506CDE" w14:textId="77777777" w:rsidR="0069682A" w:rsidRPr="00336379" w:rsidRDefault="0069682A" w:rsidP="0069682A">
      <w:pPr>
        <w:rPr>
          <w:rFonts w:ascii="Lato" w:hAnsi="Lato"/>
          <w:b/>
          <w:sz w:val="28"/>
          <w:szCs w:val="28"/>
          <w:u w:val="single"/>
        </w:rPr>
      </w:pPr>
    </w:p>
    <w:tbl>
      <w:tblPr>
        <w:tblStyle w:val="TableGrid"/>
        <w:tblW w:w="9690" w:type="dxa"/>
        <w:tblInd w:w="-57" w:type="dxa"/>
        <w:tblBorders>
          <w:top w:val="single" w:sz="4" w:space="0" w:color="575756"/>
          <w:left w:val="single" w:sz="4" w:space="0" w:color="575756"/>
          <w:bottom w:val="single" w:sz="4" w:space="0" w:color="575756"/>
          <w:right w:val="single" w:sz="4" w:space="0" w:color="575756"/>
          <w:insideH w:val="single" w:sz="4" w:space="0" w:color="575756"/>
          <w:insideV w:val="single" w:sz="4" w:space="0" w:color="575756"/>
        </w:tblBorders>
        <w:tblLook w:val="04A0" w:firstRow="1" w:lastRow="0" w:firstColumn="1" w:lastColumn="0" w:noHBand="0" w:noVBand="1"/>
      </w:tblPr>
      <w:tblGrid>
        <w:gridCol w:w="9690"/>
      </w:tblGrid>
      <w:tr w:rsidR="0069682A" w14:paraId="1079B974" w14:textId="77777777" w:rsidTr="003E2A28">
        <w:trPr>
          <w:trHeight w:val="510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shd w:val="clear" w:color="auto" w:fill="C3004A"/>
            <w:vAlign w:val="center"/>
          </w:tcPr>
          <w:p w14:paraId="5B6D704A" w14:textId="77777777" w:rsidR="0069682A" w:rsidRPr="00072CED" w:rsidRDefault="0069682A" w:rsidP="003E2A28">
            <w:pPr>
              <w:rPr>
                <w:rFonts w:ascii="Lato" w:hAnsi="Lato"/>
                <w:b/>
                <w:bCs/>
                <w:sz w:val="26"/>
                <w:szCs w:val="26"/>
              </w:rPr>
            </w:pPr>
            <w:r>
              <w:rPr>
                <w:rFonts w:ascii="Lato" w:hAnsi="Lato"/>
                <w:b/>
                <w:bCs/>
                <w:color w:val="FFFFFF" w:themeColor="background1"/>
                <w:sz w:val="26"/>
                <w:szCs w:val="26"/>
              </w:rPr>
              <w:t>Labclave-L Models</w:t>
            </w:r>
          </w:p>
        </w:tc>
      </w:tr>
    </w:tbl>
    <w:p w14:paraId="28CC4034" w14:textId="77777777" w:rsidR="0069682A" w:rsidRDefault="0069682A" w:rsidP="0069682A">
      <w:pPr>
        <w:rPr>
          <w:rFonts w:ascii="Lato" w:hAnsi="Lato"/>
          <w:sz w:val="20"/>
          <w:szCs w:val="20"/>
        </w:rPr>
      </w:pPr>
      <w:r>
        <w:rPr>
          <w:rFonts w:ascii="Lato" w:hAnsi="Lato" w:cs="Tahom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5625C61" wp14:editId="2DADA9DC">
            <wp:simplePos x="0" y="0"/>
            <wp:positionH relativeFrom="column">
              <wp:posOffset>3771900</wp:posOffset>
            </wp:positionH>
            <wp:positionV relativeFrom="paragraph">
              <wp:posOffset>80315</wp:posOffset>
            </wp:positionV>
            <wp:extent cx="1748691" cy="2757830"/>
            <wp:effectExtent l="0" t="0" r="4445" b="4445"/>
            <wp:wrapNone/>
            <wp:docPr id="1131171977" name="Picture 3" descr="A large metal box with a disp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71977" name="Picture 3" descr="A large metal box with a display&#10;&#10;AI-generated content may be incorrect."/>
                    <pic:cNvPicPr/>
                  </pic:nvPicPr>
                  <pic:blipFill rotWithShape="1">
                    <a:blip r:embed="rId7"/>
                    <a:srcRect l="18116" r="18475"/>
                    <a:stretch/>
                  </pic:blipFill>
                  <pic:spPr bwMode="auto">
                    <a:xfrm>
                      <a:off x="0" y="0"/>
                      <a:ext cx="1748691" cy="2757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155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</w:tblGrid>
      <w:tr w:rsidR="0069682A" w14:paraId="12F84A21" w14:textId="77777777" w:rsidTr="003E2A28">
        <w:tc>
          <w:tcPr>
            <w:tcW w:w="5155" w:type="dxa"/>
          </w:tcPr>
          <w:p w14:paraId="3EC7D30C" w14:textId="77777777" w:rsidR="0069682A" w:rsidRPr="00A7348A" w:rsidRDefault="0069682A" w:rsidP="003E2A28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7348A">
              <w:rPr>
                <w:rFonts w:ascii="Lato" w:hAnsi="Lato"/>
                <w:b/>
                <w:bCs/>
                <w:sz w:val="24"/>
                <w:szCs w:val="24"/>
              </w:rPr>
              <w:t>Standard Range Features</w:t>
            </w:r>
          </w:p>
        </w:tc>
      </w:tr>
      <w:tr w:rsidR="0069682A" w14:paraId="221B8174" w14:textId="77777777" w:rsidTr="003E2A28">
        <w:trPr>
          <w:trHeight w:val="2988"/>
        </w:trPr>
        <w:tc>
          <w:tcPr>
            <w:tcW w:w="5155" w:type="dxa"/>
          </w:tcPr>
          <w:p w14:paraId="5A409480" w14:textId="77777777" w:rsidR="0069682A" w:rsidRPr="0022138A" w:rsidRDefault="0069682A" w:rsidP="003E2A28">
            <w:pPr>
              <w:rPr>
                <w:rFonts w:ascii="Lato" w:hAnsi="Lato"/>
                <w:sz w:val="28"/>
                <w:szCs w:val="28"/>
              </w:rPr>
            </w:pPr>
          </w:p>
          <w:p w14:paraId="7A8DDB65" w14:textId="77777777" w:rsidR="0069682A" w:rsidRPr="00A7348A" w:rsidRDefault="0069682A" w:rsidP="0069682A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rPr>
                <w:rFonts w:ascii="Lato" w:hAnsi="Lato"/>
                <w:sz w:val="20"/>
                <w:szCs w:val="20"/>
              </w:rPr>
            </w:pPr>
            <w:r w:rsidRPr="00A7348A">
              <w:rPr>
                <w:rFonts w:ascii="Lato" w:hAnsi="Lato"/>
                <w:sz w:val="20"/>
                <w:szCs w:val="20"/>
              </w:rPr>
              <w:t>Rectangular Chamber</w:t>
            </w:r>
          </w:p>
          <w:p w14:paraId="2F26BD49" w14:textId="77777777" w:rsidR="0069682A" w:rsidRPr="00A7348A" w:rsidRDefault="0069682A" w:rsidP="0069682A">
            <w:pPr>
              <w:pStyle w:val="NoSpacing"/>
              <w:numPr>
                <w:ilvl w:val="0"/>
                <w:numId w:val="1"/>
              </w:numPr>
              <w:spacing w:after="120"/>
              <w:ind w:left="714" w:hanging="357"/>
              <w:rPr>
                <w:rFonts w:ascii="Lato" w:hAnsi="Lato"/>
                <w:sz w:val="20"/>
              </w:rPr>
            </w:pPr>
            <w:r w:rsidRPr="00A7348A">
              <w:rPr>
                <w:rFonts w:ascii="Lato" w:hAnsi="Lato"/>
                <w:sz w:val="20"/>
              </w:rPr>
              <w:t>Easy-glide vertical sliding door</w:t>
            </w:r>
          </w:p>
          <w:p w14:paraId="7C385C47" w14:textId="77777777" w:rsidR="0069682A" w:rsidRPr="00A7348A" w:rsidRDefault="0069682A" w:rsidP="0069682A">
            <w:pPr>
              <w:pStyle w:val="NoSpacing"/>
              <w:numPr>
                <w:ilvl w:val="0"/>
                <w:numId w:val="1"/>
              </w:numPr>
              <w:spacing w:after="120"/>
              <w:ind w:left="714" w:hanging="357"/>
              <w:rPr>
                <w:rFonts w:ascii="Lato" w:hAnsi="Lato"/>
                <w:sz w:val="20"/>
              </w:rPr>
            </w:pPr>
            <w:r w:rsidRPr="00A7348A">
              <w:rPr>
                <w:rFonts w:ascii="Lato" w:hAnsi="Lato"/>
                <w:sz w:val="20"/>
              </w:rPr>
              <w:t>Integral steam generator or direct steam options</w:t>
            </w:r>
          </w:p>
          <w:p w14:paraId="193909EE" w14:textId="77777777" w:rsidR="0069682A" w:rsidRPr="00A7348A" w:rsidRDefault="0069682A" w:rsidP="0069682A">
            <w:pPr>
              <w:pStyle w:val="NoSpacing"/>
              <w:numPr>
                <w:ilvl w:val="0"/>
                <w:numId w:val="1"/>
              </w:numPr>
              <w:spacing w:after="120"/>
              <w:ind w:left="714" w:hanging="357"/>
              <w:rPr>
                <w:rFonts w:ascii="Lato" w:hAnsi="Lato"/>
                <w:sz w:val="20"/>
              </w:rPr>
            </w:pPr>
            <w:r w:rsidRPr="00A7348A">
              <w:rPr>
                <w:rFonts w:ascii="Lato" w:hAnsi="Lato"/>
                <w:sz w:val="20"/>
              </w:rPr>
              <w:t>Water jacket cooling</w:t>
            </w:r>
          </w:p>
          <w:p w14:paraId="3C3EA5EF" w14:textId="77777777" w:rsidR="0069682A" w:rsidRPr="00A7348A" w:rsidRDefault="0069682A" w:rsidP="0069682A">
            <w:pPr>
              <w:pStyle w:val="NoSpacing"/>
              <w:numPr>
                <w:ilvl w:val="0"/>
                <w:numId w:val="1"/>
              </w:numPr>
              <w:spacing w:after="120"/>
              <w:ind w:left="714" w:hanging="357"/>
              <w:rPr>
                <w:rFonts w:ascii="Lato" w:hAnsi="Lato"/>
                <w:sz w:val="20"/>
              </w:rPr>
            </w:pPr>
            <w:r w:rsidRPr="00A7348A">
              <w:rPr>
                <w:rFonts w:ascii="Lato" w:hAnsi="Lato"/>
                <w:sz w:val="20"/>
              </w:rPr>
              <w:t>Up to 20-program touchscreen control system</w:t>
            </w:r>
          </w:p>
          <w:p w14:paraId="4A709DB0" w14:textId="77777777" w:rsidR="0069682A" w:rsidRPr="00A7348A" w:rsidRDefault="0069682A" w:rsidP="0069682A">
            <w:pPr>
              <w:pStyle w:val="NoSpacing"/>
              <w:numPr>
                <w:ilvl w:val="0"/>
                <w:numId w:val="1"/>
              </w:numPr>
              <w:spacing w:after="120"/>
              <w:ind w:left="714" w:hanging="357"/>
              <w:rPr>
                <w:rFonts w:ascii="Lato" w:hAnsi="Lato"/>
                <w:sz w:val="20"/>
              </w:rPr>
            </w:pPr>
            <w:r w:rsidRPr="00A7348A">
              <w:rPr>
                <w:rFonts w:ascii="Lato" w:hAnsi="Lato"/>
                <w:sz w:val="20"/>
              </w:rPr>
              <w:t>Internal data archiving for up to 20000 cycles</w:t>
            </w:r>
          </w:p>
          <w:p w14:paraId="5D5E36F0" w14:textId="77777777" w:rsidR="0069682A" w:rsidRPr="00A7348A" w:rsidRDefault="0069682A" w:rsidP="0069682A">
            <w:pPr>
              <w:pStyle w:val="NoSpacing"/>
              <w:numPr>
                <w:ilvl w:val="0"/>
                <w:numId w:val="1"/>
              </w:numPr>
              <w:spacing w:after="120"/>
              <w:ind w:left="714" w:hanging="357"/>
              <w:rPr>
                <w:rFonts w:ascii="Lato" w:hAnsi="Lato"/>
                <w:sz w:val="20"/>
              </w:rPr>
            </w:pPr>
            <w:r w:rsidRPr="00A7348A">
              <w:rPr>
                <w:rFonts w:ascii="Lato" w:hAnsi="Lato"/>
                <w:sz w:val="20"/>
              </w:rPr>
              <w:t>Individual PIN codes for traceability</w:t>
            </w:r>
          </w:p>
          <w:p w14:paraId="026E7267" w14:textId="77777777" w:rsidR="0069682A" w:rsidRPr="00A7348A" w:rsidRDefault="0069682A" w:rsidP="0069682A">
            <w:pPr>
              <w:pStyle w:val="NoSpacing"/>
              <w:numPr>
                <w:ilvl w:val="0"/>
                <w:numId w:val="1"/>
              </w:numPr>
              <w:spacing w:after="120"/>
              <w:ind w:left="714" w:hanging="357"/>
              <w:rPr>
                <w:rFonts w:ascii="Lato" w:hAnsi="Lato"/>
                <w:sz w:val="20"/>
              </w:rPr>
            </w:pPr>
            <w:r w:rsidRPr="00A7348A">
              <w:rPr>
                <w:rFonts w:ascii="Lato" w:hAnsi="Lato"/>
                <w:sz w:val="20"/>
              </w:rPr>
              <w:t>Fully self-contained</w:t>
            </w:r>
          </w:p>
          <w:p w14:paraId="62278B65" w14:textId="77777777" w:rsidR="0069682A" w:rsidRPr="00A7348A" w:rsidRDefault="0069682A" w:rsidP="0069682A">
            <w:pPr>
              <w:pStyle w:val="NoSpacing"/>
              <w:numPr>
                <w:ilvl w:val="0"/>
                <w:numId w:val="1"/>
              </w:numPr>
              <w:spacing w:after="120"/>
              <w:ind w:left="714" w:hanging="357"/>
              <w:rPr>
                <w:b/>
                <w:sz w:val="20"/>
              </w:rPr>
            </w:pPr>
            <w:r w:rsidRPr="00A7348A">
              <w:rPr>
                <w:rFonts w:ascii="Lato" w:hAnsi="Lato"/>
                <w:sz w:val="20"/>
              </w:rPr>
              <w:t>Small footprint</w:t>
            </w:r>
          </w:p>
        </w:tc>
      </w:tr>
    </w:tbl>
    <w:p w14:paraId="14420EDE" w14:textId="77777777" w:rsidR="0069682A" w:rsidRDefault="0069682A" w:rsidP="0069682A">
      <w:pPr>
        <w:ind w:left="-57"/>
        <w:rPr>
          <w:rFonts w:ascii="Lato" w:hAnsi="Lato"/>
          <w:sz w:val="20"/>
          <w:szCs w:val="20"/>
        </w:rPr>
      </w:pPr>
    </w:p>
    <w:p w14:paraId="45411850" w14:textId="77777777" w:rsidR="0069682A" w:rsidRDefault="0069682A" w:rsidP="0069682A">
      <w:pPr>
        <w:ind w:left="-57"/>
        <w:rPr>
          <w:rFonts w:ascii="Lato" w:hAnsi="La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6526"/>
      </w:tblGrid>
      <w:tr w:rsidR="0069682A" w14:paraId="5F525DAA" w14:textId="77777777" w:rsidTr="0069682A">
        <w:tc>
          <w:tcPr>
            <w:tcW w:w="3113" w:type="dxa"/>
            <w:shd w:val="clear" w:color="auto" w:fill="C3004A"/>
          </w:tcPr>
          <w:p w14:paraId="68661DE0" w14:textId="77777777" w:rsidR="0069682A" w:rsidRPr="0022138A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sz w:val="20"/>
              </w:rPr>
            </w:pPr>
            <w:r w:rsidRPr="0022138A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Capacity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309500F4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150, 225, 300, 360 and 450 litres</w:t>
            </w:r>
          </w:p>
        </w:tc>
      </w:tr>
      <w:tr w:rsidR="0069682A" w14:paraId="6960D57A" w14:textId="77777777" w:rsidTr="0069682A">
        <w:tc>
          <w:tcPr>
            <w:tcW w:w="3113" w:type="dxa"/>
            <w:shd w:val="clear" w:color="auto" w:fill="C3004A"/>
          </w:tcPr>
          <w:p w14:paraId="75E03878" w14:textId="77777777" w:rsidR="0069682A" w:rsidRPr="0022138A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22138A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Vessel Type</w:t>
            </w:r>
            <w:r w:rsidRPr="0022138A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ab/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35E33B25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Rectangular Section, jacketed</w:t>
            </w:r>
          </w:p>
        </w:tc>
      </w:tr>
      <w:tr w:rsidR="0069682A" w14:paraId="1706A441" w14:textId="77777777" w:rsidTr="0069682A">
        <w:tc>
          <w:tcPr>
            <w:tcW w:w="3113" w:type="dxa"/>
            <w:shd w:val="clear" w:color="auto" w:fill="C3004A"/>
          </w:tcPr>
          <w:p w14:paraId="42EA9DC2" w14:textId="77777777" w:rsidR="0069682A" w:rsidRPr="0022138A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22138A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Vessel Dimensions, mm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3DB2FFA8" w14:textId="53A3C995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600 x 500 x 51</w:t>
            </w:r>
            <w:r w:rsidR="000C60A4">
              <w:rPr>
                <w:rFonts w:ascii="Lato" w:hAnsi="Lato" w:cs="Tahoma"/>
                <w:sz w:val="20"/>
              </w:rPr>
              <w:t>5</w:t>
            </w:r>
            <w:r w:rsidRPr="0044195C">
              <w:rPr>
                <w:rFonts w:ascii="Lato" w:hAnsi="Lato" w:cs="Tahoma"/>
                <w:sz w:val="20"/>
              </w:rPr>
              <w:t>/74</w:t>
            </w:r>
            <w:r w:rsidR="00D54558">
              <w:rPr>
                <w:rFonts w:ascii="Lato" w:hAnsi="Lato" w:cs="Tahoma"/>
                <w:sz w:val="20"/>
              </w:rPr>
              <w:t>5</w:t>
            </w:r>
            <w:r w:rsidRPr="0044195C">
              <w:rPr>
                <w:rFonts w:ascii="Lato" w:hAnsi="Lato" w:cs="Tahoma"/>
                <w:sz w:val="20"/>
              </w:rPr>
              <w:t>/100</w:t>
            </w:r>
            <w:r w:rsidR="000C60A4">
              <w:rPr>
                <w:rFonts w:ascii="Lato" w:hAnsi="Lato" w:cs="Tahoma"/>
                <w:sz w:val="20"/>
              </w:rPr>
              <w:t>0</w:t>
            </w:r>
            <w:r w:rsidRPr="0044195C">
              <w:rPr>
                <w:rFonts w:ascii="Lato" w:hAnsi="Lato" w:cs="Tahoma"/>
                <w:sz w:val="20"/>
              </w:rPr>
              <w:t xml:space="preserve"> HWD (150/2</w:t>
            </w:r>
            <w:r w:rsidR="000C60A4">
              <w:rPr>
                <w:rFonts w:ascii="Lato" w:hAnsi="Lato" w:cs="Tahoma"/>
                <w:sz w:val="20"/>
              </w:rPr>
              <w:t>25</w:t>
            </w:r>
            <w:r w:rsidRPr="0044195C">
              <w:rPr>
                <w:rFonts w:ascii="Lato" w:hAnsi="Lato" w:cs="Tahoma"/>
                <w:sz w:val="20"/>
              </w:rPr>
              <w:t>/300-litre)</w:t>
            </w:r>
            <w:r w:rsidRPr="0044195C">
              <w:rPr>
                <w:rFonts w:ascii="Lato" w:hAnsi="Lato" w:cs="Tahoma"/>
                <w:sz w:val="20"/>
              </w:rPr>
              <w:br/>
              <w:t>700 x 670 x 76</w:t>
            </w:r>
            <w:r w:rsidR="000C60A4">
              <w:rPr>
                <w:rFonts w:ascii="Lato" w:hAnsi="Lato" w:cs="Tahoma"/>
                <w:sz w:val="20"/>
              </w:rPr>
              <w:t>5</w:t>
            </w:r>
            <w:r w:rsidRPr="0044195C">
              <w:rPr>
                <w:rFonts w:ascii="Lato" w:hAnsi="Lato" w:cs="Tahoma"/>
                <w:sz w:val="20"/>
              </w:rPr>
              <w:t>/96</w:t>
            </w:r>
            <w:r w:rsidR="000C60A4">
              <w:rPr>
                <w:rFonts w:ascii="Lato" w:hAnsi="Lato" w:cs="Tahoma"/>
                <w:sz w:val="20"/>
              </w:rPr>
              <w:t>5</w:t>
            </w:r>
            <w:r w:rsidRPr="0044195C">
              <w:rPr>
                <w:rFonts w:ascii="Lato" w:hAnsi="Lato" w:cs="Tahoma"/>
                <w:sz w:val="20"/>
              </w:rPr>
              <w:t xml:space="preserve"> HWD (360/450-litre)</w:t>
            </w:r>
          </w:p>
        </w:tc>
      </w:tr>
      <w:tr w:rsidR="0069682A" w14:paraId="7D7645E5" w14:textId="77777777" w:rsidTr="0069682A">
        <w:trPr>
          <w:trHeight w:val="340"/>
        </w:trPr>
        <w:tc>
          <w:tcPr>
            <w:tcW w:w="3113" w:type="dxa"/>
            <w:shd w:val="clear" w:color="auto" w:fill="C3004A"/>
          </w:tcPr>
          <w:p w14:paraId="74D80B61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Shelves/Positions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1F398A2B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 xml:space="preserve">15-20 available positions dependant on </w:t>
            </w:r>
            <w:r>
              <w:rPr>
                <w:rFonts w:ascii="Lato" w:hAnsi="Lato" w:cs="Tahoma"/>
                <w:sz w:val="20"/>
              </w:rPr>
              <w:t>v</w:t>
            </w:r>
            <w:r w:rsidRPr="0044195C">
              <w:rPr>
                <w:rFonts w:ascii="Lato" w:hAnsi="Lato" w:cs="Tahoma"/>
                <w:sz w:val="20"/>
              </w:rPr>
              <w:t>essel size</w:t>
            </w:r>
          </w:p>
        </w:tc>
      </w:tr>
      <w:tr w:rsidR="0069682A" w14:paraId="41E3E396" w14:textId="77777777" w:rsidTr="0069682A">
        <w:tc>
          <w:tcPr>
            <w:tcW w:w="3113" w:type="dxa"/>
            <w:shd w:val="clear" w:color="auto" w:fill="C3004A"/>
          </w:tcPr>
          <w:p w14:paraId="3D645DD3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Pressure Vessel Material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4E703667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High grade 316 stainless steel</w:t>
            </w:r>
          </w:p>
        </w:tc>
      </w:tr>
      <w:tr w:rsidR="0069682A" w14:paraId="3E16F5F4" w14:textId="77777777" w:rsidTr="0069682A">
        <w:tc>
          <w:tcPr>
            <w:tcW w:w="3113" w:type="dxa"/>
            <w:shd w:val="clear" w:color="auto" w:fill="C3004A"/>
          </w:tcPr>
          <w:p w14:paraId="5E9EC6FC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Pressure Vessel Finish</w:t>
            </w: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ab/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0C44950E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Glass bead finish (RA value 2.5</w:t>
            </w:r>
            <w:r>
              <w:rPr>
                <w:rFonts w:ascii="Lato" w:hAnsi="Lato" w:cs="Tahoma"/>
                <w:sz w:val="20"/>
              </w:rPr>
              <w:t>µ</w:t>
            </w:r>
            <w:r w:rsidRPr="0044195C">
              <w:rPr>
                <w:rFonts w:ascii="Lato" w:hAnsi="Lato" w:cs="Tahoma"/>
                <w:sz w:val="20"/>
              </w:rPr>
              <w:t>m)</w:t>
            </w:r>
          </w:p>
        </w:tc>
      </w:tr>
      <w:tr w:rsidR="0069682A" w14:paraId="754B761F" w14:textId="77777777" w:rsidTr="0069682A">
        <w:tc>
          <w:tcPr>
            <w:tcW w:w="3113" w:type="dxa"/>
            <w:shd w:val="clear" w:color="auto" w:fill="C3004A"/>
          </w:tcPr>
          <w:p w14:paraId="11E67081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Pressure Vessel Compliance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5076B6B1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Pressure Equipment Directive 97/23/EC and independently</w:t>
            </w:r>
            <w:r>
              <w:rPr>
                <w:rFonts w:ascii="Lato" w:hAnsi="Lato" w:cs="Tahoma"/>
                <w:sz w:val="20"/>
              </w:rPr>
              <w:t xml:space="preserve"> </w:t>
            </w:r>
            <w:r w:rsidRPr="0044195C">
              <w:rPr>
                <w:rFonts w:ascii="Lato" w:hAnsi="Lato" w:cs="Tahoma"/>
                <w:sz w:val="20"/>
              </w:rPr>
              <w:t>certified to PD5500:2000 Cat. 3</w:t>
            </w:r>
          </w:p>
        </w:tc>
      </w:tr>
      <w:tr w:rsidR="0069682A" w14:paraId="61FC2C8D" w14:textId="77777777" w:rsidTr="0069682A">
        <w:tc>
          <w:tcPr>
            <w:tcW w:w="3113" w:type="dxa"/>
            <w:shd w:val="clear" w:color="auto" w:fill="C3004A"/>
          </w:tcPr>
          <w:p w14:paraId="6AFF6A96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Other Applicable Standards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63A8E8E9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BS3970 / BS2646 / HTM2010 (Optional)</w:t>
            </w:r>
          </w:p>
        </w:tc>
      </w:tr>
      <w:tr w:rsidR="0069682A" w14:paraId="47A470CE" w14:textId="77777777" w:rsidTr="0069682A">
        <w:tc>
          <w:tcPr>
            <w:tcW w:w="3113" w:type="dxa"/>
            <w:shd w:val="clear" w:color="auto" w:fill="C3004A"/>
          </w:tcPr>
          <w:p w14:paraId="22460B5F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Door Type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742EEF6F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Easy-glide vertical sliding door</w:t>
            </w:r>
          </w:p>
        </w:tc>
      </w:tr>
      <w:tr w:rsidR="0069682A" w14:paraId="1AB24277" w14:textId="77777777" w:rsidTr="0069682A">
        <w:tc>
          <w:tcPr>
            <w:tcW w:w="3113" w:type="dxa"/>
            <w:shd w:val="clear" w:color="auto" w:fill="C3004A"/>
          </w:tcPr>
          <w:p w14:paraId="0A8875DE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Door Seal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301E6FC2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Floating</w:t>
            </w:r>
          </w:p>
        </w:tc>
      </w:tr>
      <w:tr w:rsidR="0069682A" w14:paraId="2367E8B3" w14:textId="77777777" w:rsidTr="0069682A">
        <w:tc>
          <w:tcPr>
            <w:tcW w:w="3113" w:type="dxa"/>
            <w:shd w:val="clear" w:color="auto" w:fill="C3004A"/>
          </w:tcPr>
          <w:p w14:paraId="43AC92AB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Steam Source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4E836FE1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Integral steam generator or Direct Steam</w:t>
            </w:r>
          </w:p>
        </w:tc>
      </w:tr>
      <w:tr w:rsidR="0069682A" w14:paraId="3D298DA5" w14:textId="77777777" w:rsidTr="0069682A">
        <w:tc>
          <w:tcPr>
            <w:tcW w:w="3113" w:type="dxa"/>
            <w:shd w:val="clear" w:color="auto" w:fill="C3004A"/>
          </w:tcPr>
          <w:p w14:paraId="6456EC53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Temp. Range, ˚C</w:t>
            </w: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ab/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75B5090F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105-140</w:t>
            </w:r>
          </w:p>
        </w:tc>
      </w:tr>
      <w:tr w:rsidR="0069682A" w14:paraId="1B504D3D" w14:textId="77777777" w:rsidTr="0069682A">
        <w:tc>
          <w:tcPr>
            <w:tcW w:w="3113" w:type="dxa"/>
            <w:shd w:val="clear" w:color="auto" w:fill="C3004A"/>
          </w:tcPr>
          <w:p w14:paraId="7E2BBCE4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Pressure Range</w:t>
            </w: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ab/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6EFA81BE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Zero (or 50 mbarA if vacuum fitted) to 3.1bar</w:t>
            </w:r>
          </w:p>
        </w:tc>
      </w:tr>
      <w:tr w:rsidR="0069682A" w14:paraId="4E6B0C71" w14:textId="77777777" w:rsidTr="0069682A">
        <w:tc>
          <w:tcPr>
            <w:tcW w:w="3113" w:type="dxa"/>
            <w:shd w:val="clear" w:color="auto" w:fill="C3004A"/>
          </w:tcPr>
          <w:p w14:paraId="72AFD055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Overall Dimensions, m</w:t>
            </w:r>
            <w:r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m</w:t>
            </w: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ab/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5DD84F67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See brochure for details</w:t>
            </w:r>
          </w:p>
        </w:tc>
      </w:tr>
      <w:tr w:rsidR="0069682A" w14:paraId="3E2164C3" w14:textId="77777777" w:rsidTr="0069682A">
        <w:tc>
          <w:tcPr>
            <w:tcW w:w="3113" w:type="dxa"/>
            <w:shd w:val="clear" w:color="auto" w:fill="C3004A"/>
          </w:tcPr>
          <w:p w14:paraId="7BC925B6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Control System</w:t>
            </w: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ab/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6EB8AF13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Up to 20-program touch-screen system.</w:t>
            </w:r>
          </w:p>
        </w:tc>
      </w:tr>
      <w:tr w:rsidR="0069682A" w14:paraId="329A2626" w14:textId="77777777" w:rsidTr="0069682A">
        <w:tc>
          <w:tcPr>
            <w:tcW w:w="3113" w:type="dxa"/>
            <w:shd w:val="clear" w:color="auto" w:fill="C3004A"/>
          </w:tcPr>
          <w:p w14:paraId="2223663B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Data Archiving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4315B3A9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Internal flash-card system (up to 20 000 cycles)</w:t>
            </w:r>
          </w:p>
        </w:tc>
      </w:tr>
      <w:tr w:rsidR="0069682A" w14:paraId="3D683AA7" w14:textId="77777777" w:rsidTr="0069682A">
        <w:tc>
          <w:tcPr>
            <w:tcW w:w="3113" w:type="dxa"/>
            <w:shd w:val="clear" w:color="auto" w:fill="C3004A"/>
          </w:tcPr>
          <w:p w14:paraId="5EB64BC8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Standard Cycle Features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1286188B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Timed auto-start; batch no. input; operator ID</w:t>
            </w:r>
          </w:p>
        </w:tc>
      </w:tr>
      <w:tr w:rsidR="0069682A" w14:paraId="7741C510" w14:textId="77777777" w:rsidTr="0069682A">
        <w:tc>
          <w:tcPr>
            <w:tcW w:w="3113" w:type="dxa"/>
            <w:shd w:val="clear" w:color="auto" w:fill="C3004A"/>
          </w:tcPr>
          <w:p w14:paraId="629EEE4F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Silent Air Compressor</w:t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06293E25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Included</w:t>
            </w:r>
          </w:p>
        </w:tc>
      </w:tr>
      <w:tr w:rsidR="0069682A" w14:paraId="64974C98" w14:textId="77777777" w:rsidTr="0069682A">
        <w:trPr>
          <w:trHeight w:val="283"/>
        </w:trPr>
        <w:tc>
          <w:tcPr>
            <w:tcW w:w="3113" w:type="dxa"/>
            <w:shd w:val="clear" w:color="auto" w:fill="C3004A"/>
          </w:tcPr>
          <w:p w14:paraId="3131FCC9" w14:textId="77777777" w:rsidR="0069682A" w:rsidRPr="0044195C" w:rsidRDefault="0069682A" w:rsidP="0069682A">
            <w:pPr>
              <w:pStyle w:val="BodyText"/>
              <w:spacing w:after="40"/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</w:pP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>Cooling Method</w:t>
            </w:r>
            <w:r w:rsidRPr="0044195C">
              <w:rPr>
                <w:rFonts w:ascii="Lato" w:hAnsi="Lato" w:cs="Tahoma"/>
                <w:b/>
                <w:bCs/>
                <w:color w:val="FFFFFF" w:themeColor="background1"/>
                <w:sz w:val="20"/>
              </w:rPr>
              <w:tab/>
            </w:r>
          </w:p>
        </w:tc>
        <w:tc>
          <w:tcPr>
            <w:tcW w:w="6526" w:type="dxa"/>
            <w:tcBorders>
              <w:top w:val="single" w:sz="4" w:space="0" w:color="ECEFF1"/>
              <w:bottom w:val="single" w:sz="4" w:space="0" w:color="ECEFF1"/>
            </w:tcBorders>
          </w:tcPr>
          <w:p w14:paraId="65BB7C2A" w14:textId="77777777" w:rsidR="0069682A" w:rsidRDefault="0069682A" w:rsidP="0069682A">
            <w:pPr>
              <w:pStyle w:val="BodyText"/>
              <w:spacing w:after="40"/>
              <w:rPr>
                <w:rFonts w:ascii="Lato" w:hAnsi="Lato" w:cs="Tahoma"/>
                <w:sz w:val="20"/>
              </w:rPr>
            </w:pPr>
            <w:r w:rsidRPr="0044195C">
              <w:rPr>
                <w:rFonts w:ascii="Lato" w:hAnsi="Lato" w:cs="Tahoma"/>
                <w:sz w:val="20"/>
              </w:rPr>
              <w:t>Water jacket cooling</w:t>
            </w:r>
          </w:p>
        </w:tc>
      </w:tr>
    </w:tbl>
    <w:p w14:paraId="1FC3391D" w14:textId="3D5A77EF" w:rsidR="00DA2C82" w:rsidRPr="0069682A" w:rsidRDefault="0069682A" w:rsidP="0069682A">
      <w:pPr>
        <w:pStyle w:val="NoSpacing"/>
        <w:spacing w:before="240"/>
        <w:rPr>
          <w:i/>
          <w:iCs/>
          <w:sz w:val="20"/>
        </w:rPr>
      </w:pPr>
      <w:r w:rsidRPr="00990C86">
        <w:rPr>
          <w:i/>
          <w:iCs/>
          <w:sz w:val="20"/>
        </w:rPr>
        <w:t>The above is the standard specification. Any modification/deviation for the above will be clearly identified on the quotation front sheet</w:t>
      </w:r>
      <w:r>
        <w:rPr>
          <w:i/>
          <w:iCs/>
          <w:sz w:val="20"/>
        </w:rPr>
        <w:t>.</w:t>
      </w:r>
    </w:p>
    <w:sectPr w:rsidR="00DA2C82" w:rsidRPr="0069682A" w:rsidSect="00B9543A">
      <w:headerReference w:type="default" r:id="rId8"/>
      <w:footerReference w:type="default" r:id="rId9"/>
      <w:pgSz w:w="11900" w:h="16840"/>
      <w:pgMar w:top="1440" w:right="1105" w:bottom="1440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46E0" w14:textId="77777777" w:rsidR="0069682A" w:rsidRDefault="0069682A" w:rsidP="00E67F25">
      <w:r>
        <w:separator/>
      </w:r>
    </w:p>
  </w:endnote>
  <w:endnote w:type="continuationSeparator" w:id="0">
    <w:p w14:paraId="2CD2C495" w14:textId="77777777" w:rsidR="0069682A" w:rsidRDefault="0069682A" w:rsidP="00E6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41B8" w14:textId="6BA863C4" w:rsidR="00E67F25" w:rsidRPr="00961E6C" w:rsidRDefault="00602FE1" w:rsidP="0069682A">
    <w:pPr>
      <w:pStyle w:val="Footer"/>
      <w:tabs>
        <w:tab w:val="clear" w:pos="4680"/>
        <w:tab w:val="clear" w:pos="9360"/>
        <w:tab w:val="center" w:pos="4678"/>
        <w:tab w:val="left" w:pos="9482"/>
        <w:tab w:val="right" w:pos="9724"/>
      </w:tabs>
      <w:ind w:left="-113" w:right="-142"/>
      <w:rPr>
        <w:color w:val="575756"/>
      </w:rPr>
    </w:pPr>
    <w:r w:rsidRPr="00523ED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BCFCFDB" wp14:editId="1E66012B">
          <wp:simplePos x="0" y="0"/>
          <wp:positionH relativeFrom="column">
            <wp:posOffset>-724535</wp:posOffset>
          </wp:positionH>
          <wp:positionV relativeFrom="page">
            <wp:posOffset>9768205</wp:posOffset>
          </wp:positionV>
          <wp:extent cx="7545600" cy="56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42"/>
                  <a:stretch/>
                </pic:blipFill>
                <pic:spPr bwMode="auto">
                  <a:xfrm>
                    <a:off x="0" y="0"/>
                    <a:ext cx="7545600" cy="56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CDF">
      <w:rPr>
        <w:sz w:val="16"/>
        <w:szCs w:val="16"/>
      </w:rPr>
      <w:tab/>
    </w:r>
    <w:r w:rsidR="004A6CDF">
      <w:rPr>
        <w:sz w:val="16"/>
        <w:szCs w:val="16"/>
      </w:rPr>
      <w:tab/>
    </w:r>
    <w:r w:rsidR="0069682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0BC8" w14:textId="77777777" w:rsidR="0069682A" w:rsidRDefault="0069682A" w:rsidP="00E67F25">
      <w:r>
        <w:separator/>
      </w:r>
    </w:p>
  </w:footnote>
  <w:footnote w:type="continuationSeparator" w:id="0">
    <w:p w14:paraId="045B9B22" w14:textId="77777777" w:rsidR="0069682A" w:rsidRDefault="0069682A" w:rsidP="00E6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23F6" w14:textId="77777777" w:rsidR="00E67F25" w:rsidRDefault="00E67F25" w:rsidP="004A6C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B71987" wp14:editId="1C367E67">
          <wp:simplePos x="0" y="0"/>
          <wp:positionH relativeFrom="column">
            <wp:posOffset>-720090</wp:posOffset>
          </wp:positionH>
          <wp:positionV relativeFrom="paragraph">
            <wp:posOffset>-775081</wp:posOffset>
          </wp:positionV>
          <wp:extent cx="7534275" cy="1762760"/>
          <wp:effectExtent l="0" t="0" r="952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76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26655"/>
    <w:multiLevelType w:val="hybridMultilevel"/>
    <w:tmpl w:val="3FE004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2A"/>
    <w:rsid w:val="00073AD7"/>
    <w:rsid w:val="00087B60"/>
    <w:rsid w:val="000914B7"/>
    <w:rsid w:val="000C60A4"/>
    <w:rsid w:val="001F5C00"/>
    <w:rsid w:val="00231377"/>
    <w:rsid w:val="002543BB"/>
    <w:rsid w:val="00264B3A"/>
    <w:rsid w:val="00307752"/>
    <w:rsid w:val="0037524D"/>
    <w:rsid w:val="00411D33"/>
    <w:rsid w:val="0042156E"/>
    <w:rsid w:val="00472304"/>
    <w:rsid w:val="004A6CDF"/>
    <w:rsid w:val="004C6FFC"/>
    <w:rsid w:val="00523EDC"/>
    <w:rsid w:val="00602FE1"/>
    <w:rsid w:val="0069682A"/>
    <w:rsid w:val="00701511"/>
    <w:rsid w:val="007046D3"/>
    <w:rsid w:val="00806C73"/>
    <w:rsid w:val="00827B8E"/>
    <w:rsid w:val="00897BDF"/>
    <w:rsid w:val="00961E6C"/>
    <w:rsid w:val="009B22AF"/>
    <w:rsid w:val="009F0710"/>
    <w:rsid w:val="00A15473"/>
    <w:rsid w:val="00A20492"/>
    <w:rsid w:val="00A71BB7"/>
    <w:rsid w:val="00A9671C"/>
    <w:rsid w:val="00B53C3A"/>
    <w:rsid w:val="00B9543A"/>
    <w:rsid w:val="00BB1DB7"/>
    <w:rsid w:val="00C5097E"/>
    <w:rsid w:val="00D21D99"/>
    <w:rsid w:val="00D271E6"/>
    <w:rsid w:val="00D54558"/>
    <w:rsid w:val="00DA2C82"/>
    <w:rsid w:val="00DC0BFF"/>
    <w:rsid w:val="00DD59C8"/>
    <w:rsid w:val="00E67F25"/>
    <w:rsid w:val="00E75AA2"/>
    <w:rsid w:val="00F75BC1"/>
    <w:rsid w:val="00F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E4619"/>
  <w14:defaultImageDpi w14:val="32767"/>
  <w15:chartTrackingRefBased/>
  <w15:docId w15:val="{DC02FC06-F789-4E73-BB81-1F9D5097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6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LTextStyle">
    <w:name w:val="MWL Text Style"/>
    <w:basedOn w:val="Normal"/>
    <w:qFormat/>
    <w:rsid w:val="00F75BC1"/>
    <w:rPr>
      <w:rFonts w:ascii="Verdana" w:hAnsi="Verdana"/>
      <w:color w:val="62656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F25"/>
  </w:style>
  <w:style w:type="paragraph" w:styleId="Footer">
    <w:name w:val="footer"/>
    <w:basedOn w:val="Normal"/>
    <w:link w:val="FooterChar"/>
    <w:uiPriority w:val="99"/>
    <w:unhideWhenUsed/>
    <w:rsid w:val="00E6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25"/>
  </w:style>
  <w:style w:type="table" w:styleId="TableGrid">
    <w:name w:val="Table Grid"/>
    <w:basedOn w:val="TableNormal"/>
    <w:uiPriority w:val="59"/>
    <w:rsid w:val="006968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682A"/>
    <w:rPr>
      <w:sz w:val="22"/>
      <w:szCs w:val="22"/>
    </w:rPr>
  </w:style>
  <w:style w:type="paragraph" w:styleId="BodyText">
    <w:name w:val="Body Text"/>
    <w:basedOn w:val="Normal"/>
    <w:link w:val="BodyTextChar"/>
    <w:semiHidden/>
    <w:rsid w:val="0069682A"/>
    <w:pPr>
      <w:spacing w:after="120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9682A"/>
    <w:rPr>
      <w:rFonts w:ascii="Arial" w:eastAsia="Times New Roman" w:hAnsi="Arial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69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E-FS02\Data\5.Sales\Marketing\LTE%20Brand%20Guidelines\LTE%20A4%20Word-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LTE A4 Word-Doc</Template>
  <TotalTime>10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Armstead</dc:creator>
  <cp:keywords/>
  <dc:description/>
  <cp:lastModifiedBy>Aaron Armstead</cp:lastModifiedBy>
  <cp:revision>3</cp:revision>
  <cp:lastPrinted>2021-06-15T14:02:00Z</cp:lastPrinted>
  <dcterms:created xsi:type="dcterms:W3CDTF">2025-05-12T08:32:00Z</dcterms:created>
  <dcterms:modified xsi:type="dcterms:W3CDTF">2025-05-29T07:25:00Z</dcterms:modified>
</cp:coreProperties>
</file>